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C0F" w:rsidRPr="00816100" w:rsidRDefault="007C2EEA" w:rsidP="007C2EEA">
      <w:pPr>
        <w:pStyle w:val="Heading1"/>
        <w:rPr>
          <w:rFonts w:ascii="Century Gothic" w:hAnsi="Century Gothic"/>
        </w:rPr>
      </w:pPr>
      <w:r w:rsidRPr="00816100">
        <w:rPr>
          <w:rFonts w:ascii="Century Gothic" w:hAnsi="Century Gothic"/>
        </w:rPr>
        <w:t xml:space="preserve">Politiek Prominente Personen </w:t>
      </w:r>
    </w:p>
    <w:p w:rsidR="007C2EEA" w:rsidRPr="00816100" w:rsidRDefault="007C2EEA" w:rsidP="007C2EEA">
      <w:pPr>
        <w:pStyle w:val="Heading2"/>
        <w:rPr>
          <w:rFonts w:ascii="Century Gothic" w:hAnsi="Century Gothic"/>
        </w:rPr>
      </w:pPr>
      <w:r w:rsidRPr="00816100">
        <w:rPr>
          <w:rFonts w:ascii="Century Gothic" w:hAnsi="Century Gothic"/>
        </w:rPr>
        <w:t xml:space="preserve">Definitie </w:t>
      </w:r>
    </w:p>
    <w:p w:rsidR="007C2EEA" w:rsidRPr="007C2EEA" w:rsidRDefault="007C2EEA" w:rsidP="007C2EEA">
      <w:pPr>
        <w:rPr>
          <w:rFonts w:ascii="Century Gothic" w:hAnsi="Century Gothic"/>
          <w:sz w:val="20"/>
          <w:szCs w:val="20"/>
        </w:rPr>
      </w:pPr>
      <w:r w:rsidRPr="007C2EEA">
        <w:rPr>
          <w:rFonts w:ascii="Century Gothic" w:hAnsi="Century Gothic"/>
          <w:sz w:val="20"/>
          <w:szCs w:val="20"/>
        </w:rPr>
        <w:t>P</w:t>
      </w:r>
      <w:r w:rsidRPr="00816100">
        <w:rPr>
          <w:rFonts w:ascii="Century Gothic" w:hAnsi="Century Gothic"/>
          <w:sz w:val="20"/>
          <w:szCs w:val="20"/>
        </w:rPr>
        <w:t>olitiek Prominente Personen</w:t>
      </w:r>
      <w:r w:rsidRPr="007C2EEA">
        <w:rPr>
          <w:rFonts w:ascii="Century Gothic" w:hAnsi="Century Gothic"/>
          <w:sz w:val="20"/>
          <w:szCs w:val="20"/>
        </w:rPr>
        <w:t xml:space="preserve"> zijn personen met verblijfplaats in België of in het buitenland die zijn blootgesteld aan bijzondere risico’s als gevolg van de prominente publieke (politieke, gerechtelijke of administratieve) functies die zij uitoefenen of hebben uitgeoefend.</w:t>
      </w:r>
    </w:p>
    <w:p w:rsidR="007C2EEA" w:rsidRPr="007C2EEA" w:rsidRDefault="007C2EEA" w:rsidP="007C2EEA">
      <w:pPr>
        <w:rPr>
          <w:rFonts w:ascii="Century Gothic" w:hAnsi="Century Gothic"/>
          <w:sz w:val="20"/>
          <w:szCs w:val="20"/>
        </w:rPr>
      </w:pPr>
      <w:r w:rsidRPr="007C2EEA">
        <w:rPr>
          <w:rFonts w:ascii="Century Gothic" w:hAnsi="Century Gothic"/>
          <w:sz w:val="20"/>
          <w:szCs w:val="20"/>
        </w:rPr>
        <w:t xml:space="preserve">Meer in het bijzonder wordt het begrip </w:t>
      </w:r>
      <w:r w:rsidRPr="00816100">
        <w:rPr>
          <w:rFonts w:ascii="Century Gothic" w:hAnsi="Century Gothic"/>
          <w:sz w:val="20"/>
          <w:szCs w:val="20"/>
        </w:rPr>
        <w:t>Politiek Prominente Persoon</w:t>
      </w:r>
      <w:r w:rsidRPr="007C2EEA">
        <w:rPr>
          <w:rFonts w:ascii="Century Gothic" w:hAnsi="Century Gothic"/>
          <w:sz w:val="20"/>
          <w:szCs w:val="20"/>
        </w:rPr>
        <w:t xml:space="preserve"> in de </w:t>
      </w:r>
      <w:proofErr w:type="spellStart"/>
      <w:r w:rsidRPr="007C2EEA">
        <w:rPr>
          <w:rFonts w:ascii="Century Gothic" w:hAnsi="Century Gothic"/>
          <w:sz w:val="20"/>
          <w:szCs w:val="20"/>
        </w:rPr>
        <w:t>antiwitwaswet</w:t>
      </w:r>
      <w:proofErr w:type="spellEnd"/>
      <w:r w:rsidRPr="007C2EEA">
        <w:rPr>
          <w:rFonts w:ascii="Century Gothic" w:hAnsi="Century Gothic"/>
          <w:sz w:val="20"/>
          <w:szCs w:val="20"/>
        </w:rPr>
        <w:t xml:space="preserve"> gedefinieerd als een natuurlijk persoon die een prominente publieke functie bekleedt of bekleed heeft (geen middelbare of lagere ambtenaren), met name (niet-exhaustieve lijst):</w:t>
      </w:r>
    </w:p>
    <w:p w:rsidR="007C2EEA" w:rsidRPr="007C2EEA" w:rsidRDefault="007C2EEA" w:rsidP="007C2EEA">
      <w:pPr>
        <w:numPr>
          <w:ilvl w:val="0"/>
          <w:numId w:val="1"/>
        </w:numPr>
        <w:rPr>
          <w:rFonts w:ascii="Century Gothic" w:hAnsi="Century Gothic"/>
          <w:sz w:val="20"/>
          <w:szCs w:val="20"/>
        </w:rPr>
      </w:pPr>
      <w:r w:rsidRPr="007C2EEA">
        <w:rPr>
          <w:rFonts w:ascii="Century Gothic" w:hAnsi="Century Gothic"/>
          <w:sz w:val="20"/>
          <w:szCs w:val="20"/>
        </w:rPr>
        <w:t>staatshoofden, regeringsleiders, ministers en staatssecretarissen;</w:t>
      </w:r>
    </w:p>
    <w:p w:rsidR="007C2EEA" w:rsidRPr="007C2EEA" w:rsidRDefault="007C2EEA" w:rsidP="007C2EEA">
      <w:pPr>
        <w:numPr>
          <w:ilvl w:val="0"/>
          <w:numId w:val="1"/>
        </w:numPr>
        <w:rPr>
          <w:rFonts w:ascii="Century Gothic" w:hAnsi="Century Gothic"/>
          <w:sz w:val="20"/>
          <w:szCs w:val="20"/>
        </w:rPr>
      </w:pPr>
      <w:r w:rsidRPr="007C2EEA">
        <w:rPr>
          <w:rFonts w:ascii="Century Gothic" w:hAnsi="Century Gothic"/>
          <w:sz w:val="20"/>
          <w:szCs w:val="20"/>
        </w:rPr>
        <w:t>parlementsleden en leden van soortgelijke wetgevende organen;</w:t>
      </w:r>
    </w:p>
    <w:p w:rsidR="007C2EEA" w:rsidRPr="007C2EEA" w:rsidRDefault="007C2EEA" w:rsidP="007C2EEA">
      <w:pPr>
        <w:numPr>
          <w:ilvl w:val="0"/>
          <w:numId w:val="1"/>
        </w:numPr>
        <w:rPr>
          <w:rFonts w:ascii="Century Gothic" w:hAnsi="Century Gothic"/>
          <w:sz w:val="20"/>
          <w:szCs w:val="20"/>
        </w:rPr>
      </w:pPr>
      <w:r w:rsidRPr="007C2EEA">
        <w:rPr>
          <w:rFonts w:ascii="Century Gothic" w:hAnsi="Century Gothic"/>
          <w:sz w:val="20"/>
          <w:szCs w:val="20"/>
        </w:rPr>
        <w:t>leden van bestuurslichamen van politieke partijen;</w:t>
      </w:r>
    </w:p>
    <w:p w:rsidR="007C2EEA" w:rsidRPr="007C2EEA" w:rsidRDefault="007C2EEA" w:rsidP="007C2EEA">
      <w:pPr>
        <w:numPr>
          <w:ilvl w:val="0"/>
          <w:numId w:val="1"/>
        </w:numPr>
        <w:rPr>
          <w:rFonts w:ascii="Century Gothic" w:hAnsi="Century Gothic"/>
          <w:sz w:val="20"/>
          <w:szCs w:val="20"/>
        </w:rPr>
      </w:pPr>
      <w:r w:rsidRPr="007C2EEA">
        <w:rPr>
          <w:rFonts w:ascii="Century Gothic" w:hAnsi="Century Gothic"/>
          <w:sz w:val="20"/>
          <w:szCs w:val="20"/>
        </w:rPr>
        <w:t>leden van hooggerechtshoven, grondwettelijke hoven of van andere hoge rechterlijke instanties, met inbegrip van administratieve rechterlijke instanties, die arresten wijzen waartegen geen beroep openstaat, behalve in uitzonderlijke omstandigheden;</w:t>
      </w:r>
    </w:p>
    <w:p w:rsidR="007C2EEA" w:rsidRPr="007C2EEA" w:rsidRDefault="007C2EEA" w:rsidP="007C2EEA">
      <w:pPr>
        <w:numPr>
          <w:ilvl w:val="0"/>
          <w:numId w:val="1"/>
        </w:numPr>
        <w:rPr>
          <w:rFonts w:ascii="Century Gothic" w:hAnsi="Century Gothic"/>
          <w:sz w:val="20"/>
          <w:szCs w:val="20"/>
        </w:rPr>
      </w:pPr>
      <w:r w:rsidRPr="007C2EEA">
        <w:rPr>
          <w:rFonts w:ascii="Century Gothic" w:hAnsi="Century Gothic"/>
          <w:sz w:val="20"/>
          <w:szCs w:val="20"/>
        </w:rPr>
        <w:t>leden van rekenkamers of van raden van bestuur van centrale banken;</w:t>
      </w:r>
    </w:p>
    <w:p w:rsidR="007C2EEA" w:rsidRPr="007C2EEA" w:rsidRDefault="007C2EEA" w:rsidP="007C2EEA">
      <w:pPr>
        <w:numPr>
          <w:ilvl w:val="0"/>
          <w:numId w:val="1"/>
        </w:numPr>
        <w:rPr>
          <w:rFonts w:ascii="Century Gothic" w:hAnsi="Century Gothic"/>
          <w:sz w:val="20"/>
          <w:szCs w:val="20"/>
        </w:rPr>
      </w:pPr>
      <w:r w:rsidRPr="007C2EEA">
        <w:rPr>
          <w:rFonts w:ascii="Century Gothic" w:hAnsi="Century Gothic"/>
          <w:sz w:val="20"/>
          <w:szCs w:val="20"/>
        </w:rPr>
        <w:t>ambassadeurs, consuls, zaakgelastigden en hoge officieren van de strijdkrachten;</w:t>
      </w:r>
    </w:p>
    <w:p w:rsidR="007C2EEA" w:rsidRPr="007C2EEA" w:rsidRDefault="007C2EEA" w:rsidP="007C2EEA">
      <w:pPr>
        <w:numPr>
          <w:ilvl w:val="0"/>
          <w:numId w:val="1"/>
        </w:numPr>
        <w:rPr>
          <w:rFonts w:ascii="Century Gothic" w:hAnsi="Century Gothic"/>
          <w:sz w:val="20"/>
          <w:szCs w:val="20"/>
        </w:rPr>
      </w:pPr>
      <w:r w:rsidRPr="007C2EEA">
        <w:rPr>
          <w:rFonts w:ascii="Century Gothic" w:hAnsi="Century Gothic"/>
          <w:sz w:val="20"/>
          <w:szCs w:val="20"/>
        </w:rPr>
        <w:t>leden van bestuursorganen, leidinggevende of toezichthoudende organen van overheidsbedrijven;</w:t>
      </w:r>
    </w:p>
    <w:p w:rsidR="007C2EEA" w:rsidRPr="00816100" w:rsidRDefault="007C2EEA" w:rsidP="007C2EEA">
      <w:pPr>
        <w:numPr>
          <w:ilvl w:val="0"/>
          <w:numId w:val="1"/>
        </w:numPr>
        <w:rPr>
          <w:rFonts w:ascii="Century Gothic" w:hAnsi="Century Gothic"/>
          <w:sz w:val="20"/>
          <w:szCs w:val="20"/>
        </w:rPr>
      </w:pPr>
      <w:r w:rsidRPr="007C2EEA">
        <w:rPr>
          <w:rFonts w:ascii="Century Gothic" w:hAnsi="Century Gothic"/>
          <w:sz w:val="20"/>
          <w:szCs w:val="20"/>
        </w:rPr>
        <w:t>bestuurders, plaatsvervangend bestuurders en leden van de raad van bestuur of bekleders van een gelijkwaardige functie bij een internationale organisatie. Internationale organisaties worden in artikel 4, 32° van de Wet gedefinieerd als middelen- of belangenassociaties die worden opgericht bij een internationale overeenkomst tussen Staten, in voorkomend geval voorzien van gemeenschappelijke organen, die rechtspersoonlijkheid bezitten en onderworpen zijn aan een rechtsstelsel onderscheiden van dat van de leden.</w:t>
      </w:r>
    </w:p>
    <w:p w:rsidR="007C2EEA" w:rsidRPr="00816100" w:rsidRDefault="00816100" w:rsidP="007C2EEA">
      <w:pPr>
        <w:rPr>
          <w:rFonts w:ascii="Century Gothic" w:hAnsi="Century Gothic"/>
          <w:sz w:val="20"/>
          <w:szCs w:val="20"/>
        </w:rPr>
      </w:pPr>
      <w:r w:rsidRPr="00816100">
        <w:rPr>
          <w:rFonts w:ascii="Century Gothic" w:hAnsi="Century Gothic"/>
          <w:sz w:val="20"/>
          <w:szCs w:val="20"/>
        </w:rPr>
        <w:t>In de an</w:t>
      </w:r>
      <w:proofErr w:type="spellStart"/>
      <w:r w:rsidRPr="00816100">
        <w:rPr>
          <w:rFonts w:ascii="Century Gothic" w:hAnsi="Century Gothic"/>
          <w:sz w:val="20"/>
          <w:szCs w:val="20"/>
        </w:rPr>
        <w:t>tiwitwaswet</w:t>
      </w:r>
      <w:proofErr w:type="spellEnd"/>
      <w:r w:rsidRPr="00816100">
        <w:rPr>
          <w:rFonts w:ascii="Century Gothic" w:hAnsi="Century Gothic"/>
          <w:sz w:val="20"/>
          <w:szCs w:val="20"/>
        </w:rPr>
        <w:t xml:space="preserve"> wordt verduidelijkt dat, indien een prominente publieke functie niet langer wordt toevertrouwd aan een P</w:t>
      </w:r>
      <w:r w:rsidRPr="00816100">
        <w:rPr>
          <w:rFonts w:ascii="Century Gothic" w:hAnsi="Century Gothic"/>
          <w:sz w:val="20"/>
          <w:szCs w:val="20"/>
        </w:rPr>
        <w:t xml:space="preserve">olitiek </w:t>
      </w:r>
      <w:r w:rsidRPr="00816100">
        <w:rPr>
          <w:rFonts w:ascii="Century Gothic" w:hAnsi="Century Gothic"/>
          <w:sz w:val="20"/>
          <w:szCs w:val="20"/>
        </w:rPr>
        <w:t>P</w:t>
      </w:r>
      <w:r w:rsidRPr="00816100">
        <w:rPr>
          <w:rFonts w:ascii="Century Gothic" w:hAnsi="Century Gothic"/>
          <w:sz w:val="20"/>
          <w:szCs w:val="20"/>
        </w:rPr>
        <w:t xml:space="preserve">rominente </w:t>
      </w:r>
      <w:r w:rsidRPr="00816100">
        <w:rPr>
          <w:rFonts w:ascii="Century Gothic" w:hAnsi="Century Gothic"/>
          <w:sz w:val="20"/>
          <w:szCs w:val="20"/>
        </w:rPr>
        <w:t>P</w:t>
      </w:r>
      <w:r w:rsidRPr="00816100">
        <w:rPr>
          <w:rFonts w:ascii="Century Gothic" w:hAnsi="Century Gothic"/>
          <w:sz w:val="20"/>
          <w:szCs w:val="20"/>
        </w:rPr>
        <w:t>ersoon</w:t>
      </w:r>
      <w:r w:rsidRPr="00816100">
        <w:rPr>
          <w:rFonts w:ascii="Century Gothic" w:hAnsi="Century Gothic"/>
          <w:sz w:val="20"/>
          <w:szCs w:val="20"/>
        </w:rPr>
        <w:t>, de financiële instellingen gedurende ten minste twaalf maanden rekening moeten houden met het door die persoon gevormde aanhoudende risico en op de beoordeling van dat risico gebaseerde passende maatregelen moeten toepassen totdat die persoon niet langer een aan P</w:t>
      </w:r>
      <w:r w:rsidRPr="00816100">
        <w:rPr>
          <w:rFonts w:ascii="Century Gothic" w:hAnsi="Century Gothic"/>
          <w:sz w:val="20"/>
          <w:szCs w:val="20"/>
        </w:rPr>
        <w:t>olitiek Prominente Personen</w:t>
      </w:r>
      <w:r w:rsidRPr="00816100">
        <w:rPr>
          <w:rFonts w:ascii="Century Gothic" w:hAnsi="Century Gothic"/>
          <w:sz w:val="20"/>
          <w:szCs w:val="20"/>
        </w:rPr>
        <w:t xml:space="preserve"> eigen risico vormt. </w:t>
      </w:r>
    </w:p>
    <w:p w:rsidR="007C2EEA" w:rsidRPr="00816100" w:rsidRDefault="007C2EEA" w:rsidP="007C2EEA">
      <w:pPr>
        <w:pStyle w:val="Heading2"/>
        <w:rPr>
          <w:rFonts w:ascii="Century Gothic" w:hAnsi="Century Gothic"/>
        </w:rPr>
      </w:pPr>
      <w:r w:rsidRPr="00816100">
        <w:rPr>
          <w:rFonts w:ascii="Century Gothic" w:hAnsi="Century Gothic"/>
        </w:rPr>
        <w:t xml:space="preserve">Familieleden van Politiek Prominente Personen </w:t>
      </w:r>
    </w:p>
    <w:p w:rsidR="007C2EEA" w:rsidRPr="007C2EEA" w:rsidRDefault="007C2EEA" w:rsidP="007C2EEA">
      <w:pPr>
        <w:rPr>
          <w:rFonts w:ascii="Century Gothic" w:hAnsi="Century Gothic"/>
          <w:sz w:val="20"/>
          <w:szCs w:val="20"/>
        </w:rPr>
      </w:pPr>
      <w:r w:rsidRPr="007C2EEA">
        <w:rPr>
          <w:rFonts w:ascii="Century Gothic" w:hAnsi="Century Gothic"/>
          <w:sz w:val="20"/>
          <w:szCs w:val="20"/>
        </w:rPr>
        <w:t xml:space="preserve">Het begrip “familieleden” wordt in de </w:t>
      </w:r>
      <w:proofErr w:type="spellStart"/>
      <w:r w:rsidRPr="007C2EEA">
        <w:rPr>
          <w:rFonts w:ascii="Century Gothic" w:hAnsi="Century Gothic"/>
          <w:sz w:val="20"/>
          <w:szCs w:val="20"/>
        </w:rPr>
        <w:t>antiwitwaswet</w:t>
      </w:r>
      <w:proofErr w:type="spellEnd"/>
      <w:r w:rsidRPr="007C2EEA">
        <w:rPr>
          <w:rFonts w:ascii="Century Gothic" w:hAnsi="Century Gothic"/>
          <w:sz w:val="20"/>
          <w:szCs w:val="20"/>
        </w:rPr>
        <w:t xml:space="preserve"> gedefinieerd als zijnde:</w:t>
      </w:r>
    </w:p>
    <w:p w:rsidR="007C2EEA" w:rsidRPr="007C2EEA" w:rsidRDefault="007C2EEA" w:rsidP="007C2EEA">
      <w:pPr>
        <w:numPr>
          <w:ilvl w:val="0"/>
          <w:numId w:val="2"/>
        </w:numPr>
        <w:rPr>
          <w:rFonts w:ascii="Century Gothic" w:hAnsi="Century Gothic"/>
          <w:sz w:val="20"/>
          <w:szCs w:val="20"/>
        </w:rPr>
      </w:pPr>
      <w:r w:rsidRPr="007C2EEA">
        <w:rPr>
          <w:rFonts w:ascii="Century Gothic" w:hAnsi="Century Gothic"/>
          <w:sz w:val="20"/>
          <w:szCs w:val="20"/>
        </w:rPr>
        <w:t>de echtgenoot of een persoon die als gelijkwaardig met de echtgenoot wordt aangemerkt;</w:t>
      </w:r>
    </w:p>
    <w:p w:rsidR="007C2EEA" w:rsidRPr="007C2EEA" w:rsidRDefault="007C2EEA" w:rsidP="007C2EEA">
      <w:pPr>
        <w:numPr>
          <w:ilvl w:val="0"/>
          <w:numId w:val="2"/>
        </w:numPr>
        <w:rPr>
          <w:rFonts w:ascii="Century Gothic" w:hAnsi="Century Gothic"/>
          <w:sz w:val="20"/>
          <w:szCs w:val="20"/>
        </w:rPr>
      </w:pPr>
      <w:r w:rsidRPr="007C2EEA">
        <w:rPr>
          <w:rFonts w:ascii="Century Gothic" w:hAnsi="Century Gothic"/>
          <w:sz w:val="20"/>
          <w:szCs w:val="20"/>
        </w:rPr>
        <w:lastRenderedPageBreak/>
        <w:t>de kinderen en de echtgenoten van die kinderen of de personen die als gelijkwaardig met de echtgenoot worden aangemerkt;</w:t>
      </w:r>
    </w:p>
    <w:p w:rsidR="007C2EEA" w:rsidRPr="009D3C9E" w:rsidRDefault="007C2EEA" w:rsidP="007C2EEA">
      <w:pPr>
        <w:numPr>
          <w:ilvl w:val="0"/>
          <w:numId w:val="2"/>
        </w:numPr>
        <w:rPr>
          <w:rFonts w:ascii="Century Gothic" w:hAnsi="Century Gothic"/>
          <w:sz w:val="20"/>
          <w:szCs w:val="20"/>
        </w:rPr>
      </w:pPr>
      <w:r w:rsidRPr="007C2EEA">
        <w:rPr>
          <w:rFonts w:ascii="Century Gothic" w:hAnsi="Century Gothic"/>
          <w:sz w:val="20"/>
          <w:szCs w:val="20"/>
        </w:rPr>
        <w:t>de ouders.</w:t>
      </w:r>
    </w:p>
    <w:p w:rsidR="007C2EEA" w:rsidRPr="00816100" w:rsidRDefault="007C2EEA" w:rsidP="007C2EEA">
      <w:pPr>
        <w:pStyle w:val="Heading2"/>
        <w:rPr>
          <w:rFonts w:ascii="Century Gothic" w:hAnsi="Century Gothic"/>
        </w:rPr>
      </w:pPr>
      <w:r w:rsidRPr="00816100">
        <w:rPr>
          <w:rFonts w:ascii="Century Gothic" w:hAnsi="Century Gothic"/>
        </w:rPr>
        <w:t xml:space="preserve">Personen bekend als naaste geassocieerden van Politiek Prominente Personen </w:t>
      </w:r>
    </w:p>
    <w:p w:rsidR="007C2EEA" w:rsidRPr="007C2EEA" w:rsidRDefault="007C2EEA" w:rsidP="007C2EEA">
      <w:pPr>
        <w:rPr>
          <w:rFonts w:ascii="Century Gothic" w:hAnsi="Century Gothic"/>
          <w:sz w:val="20"/>
          <w:szCs w:val="20"/>
        </w:rPr>
      </w:pPr>
      <w:r w:rsidRPr="007C2EEA">
        <w:rPr>
          <w:rFonts w:ascii="Century Gothic" w:hAnsi="Century Gothic"/>
          <w:sz w:val="20"/>
          <w:szCs w:val="20"/>
        </w:rPr>
        <w:t xml:space="preserve">“Personen bekend als naaste geassocieerden” worden in de </w:t>
      </w:r>
      <w:proofErr w:type="spellStart"/>
      <w:r w:rsidRPr="007C2EEA">
        <w:rPr>
          <w:rFonts w:ascii="Century Gothic" w:hAnsi="Century Gothic"/>
          <w:sz w:val="20"/>
          <w:szCs w:val="20"/>
        </w:rPr>
        <w:t>antiwitwaswet</w:t>
      </w:r>
      <w:proofErr w:type="spellEnd"/>
      <w:r w:rsidRPr="007C2EEA">
        <w:rPr>
          <w:rFonts w:ascii="Century Gothic" w:hAnsi="Century Gothic"/>
          <w:sz w:val="20"/>
          <w:szCs w:val="20"/>
        </w:rPr>
        <w:t xml:space="preserve"> gedefinieerd als zijnde:</w:t>
      </w:r>
    </w:p>
    <w:p w:rsidR="007C2EEA" w:rsidRPr="007C2EEA" w:rsidRDefault="007C2EEA" w:rsidP="007C2EEA">
      <w:pPr>
        <w:numPr>
          <w:ilvl w:val="0"/>
          <w:numId w:val="3"/>
        </w:numPr>
        <w:rPr>
          <w:rFonts w:ascii="Century Gothic" w:hAnsi="Century Gothic"/>
          <w:sz w:val="20"/>
          <w:szCs w:val="20"/>
        </w:rPr>
      </w:pPr>
      <w:r w:rsidRPr="007C2EEA">
        <w:rPr>
          <w:rFonts w:ascii="Century Gothic" w:hAnsi="Century Gothic"/>
          <w:sz w:val="20"/>
          <w:szCs w:val="20"/>
        </w:rPr>
        <w:t>natuurlijke personen die met een P</w:t>
      </w:r>
      <w:r w:rsidR="00085BB3">
        <w:rPr>
          <w:rFonts w:ascii="Century Gothic" w:hAnsi="Century Gothic"/>
          <w:sz w:val="20"/>
          <w:szCs w:val="20"/>
        </w:rPr>
        <w:t>olitiek Prominente Persoon</w:t>
      </w:r>
      <w:r w:rsidRPr="007C2EEA">
        <w:rPr>
          <w:rFonts w:ascii="Century Gothic" w:hAnsi="Century Gothic"/>
          <w:sz w:val="20"/>
          <w:szCs w:val="20"/>
        </w:rPr>
        <w:t xml:space="preserve"> de gezamenlijke uiteindelijk begunstigden zijn van juridische entiteiten of juridische constructies, of van wie bekend is dat zij met een dergelijk persoon andere nauwe zakelijke relaties hebben;</w:t>
      </w:r>
    </w:p>
    <w:p w:rsidR="007C2EEA" w:rsidRPr="009D3C9E" w:rsidRDefault="007C2EEA" w:rsidP="007C2EEA">
      <w:pPr>
        <w:numPr>
          <w:ilvl w:val="0"/>
          <w:numId w:val="3"/>
        </w:numPr>
        <w:rPr>
          <w:rFonts w:ascii="Century Gothic" w:hAnsi="Century Gothic"/>
          <w:sz w:val="20"/>
          <w:szCs w:val="20"/>
        </w:rPr>
      </w:pPr>
      <w:r w:rsidRPr="007C2EEA">
        <w:rPr>
          <w:rFonts w:ascii="Century Gothic" w:hAnsi="Century Gothic"/>
          <w:sz w:val="20"/>
          <w:szCs w:val="20"/>
        </w:rPr>
        <w:t>natuurlijke personen die als enigen de uiteindelijke begunstigden zijn van een juridische entiteit of juridische constructie waarvan bekend is dat deze in feite werd opgericht ten behoeve van een P</w:t>
      </w:r>
      <w:r w:rsidR="00085BB3">
        <w:rPr>
          <w:rFonts w:ascii="Century Gothic" w:hAnsi="Century Gothic"/>
          <w:sz w:val="20"/>
          <w:szCs w:val="20"/>
        </w:rPr>
        <w:t xml:space="preserve">olitiek </w:t>
      </w:r>
      <w:r w:rsidRPr="007C2EEA">
        <w:rPr>
          <w:rFonts w:ascii="Century Gothic" w:hAnsi="Century Gothic"/>
          <w:sz w:val="20"/>
          <w:szCs w:val="20"/>
        </w:rPr>
        <w:t>P</w:t>
      </w:r>
      <w:r w:rsidR="00085BB3">
        <w:rPr>
          <w:rFonts w:ascii="Century Gothic" w:hAnsi="Century Gothic"/>
          <w:sz w:val="20"/>
          <w:szCs w:val="20"/>
        </w:rPr>
        <w:t>rominent Persoon</w:t>
      </w:r>
      <w:r w:rsidRPr="007C2EEA">
        <w:rPr>
          <w:rFonts w:ascii="Century Gothic" w:hAnsi="Century Gothic"/>
          <w:sz w:val="20"/>
          <w:szCs w:val="20"/>
        </w:rPr>
        <w:t>.</w:t>
      </w:r>
    </w:p>
    <w:p w:rsidR="00816100" w:rsidRPr="00816100" w:rsidRDefault="00816100" w:rsidP="00816100">
      <w:pPr>
        <w:pStyle w:val="Heading2"/>
        <w:rPr>
          <w:rFonts w:ascii="Century Gothic" w:hAnsi="Century Gothic"/>
        </w:rPr>
      </w:pPr>
      <w:r w:rsidRPr="00816100">
        <w:rPr>
          <w:rFonts w:ascii="Century Gothic" w:hAnsi="Century Gothic"/>
        </w:rPr>
        <w:t xml:space="preserve">Maatregelen </w:t>
      </w:r>
    </w:p>
    <w:p w:rsidR="00816100" w:rsidRPr="00816100" w:rsidRDefault="00816100" w:rsidP="00816100">
      <w:pPr>
        <w:rPr>
          <w:rFonts w:ascii="Century Gothic" w:hAnsi="Century Gothic"/>
          <w:sz w:val="20"/>
          <w:szCs w:val="20"/>
        </w:rPr>
      </w:pPr>
      <w:r w:rsidRPr="00816100">
        <w:rPr>
          <w:rFonts w:ascii="Century Gothic" w:hAnsi="Century Gothic"/>
          <w:sz w:val="20"/>
          <w:szCs w:val="20"/>
        </w:rPr>
        <w:t>Concreet moeten de financiële instellingen: </w:t>
      </w:r>
    </w:p>
    <w:p w:rsidR="00816100" w:rsidRPr="00816100" w:rsidRDefault="00816100" w:rsidP="00816100">
      <w:pPr>
        <w:numPr>
          <w:ilvl w:val="0"/>
          <w:numId w:val="4"/>
        </w:numPr>
        <w:rPr>
          <w:rFonts w:ascii="Century Gothic" w:hAnsi="Century Gothic"/>
          <w:sz w:val="20"/>
          <w:szCs w:val="20"/>
        </w:rPr>
      </w:pPr>
      <w:r w:rsidRPr="00816100">
        <w:rPr>
          <w:rFonts w:ascii="Century Gothic" w:hAnsi="Century Gothic"/>
          <w:sz w:val="20"/>
          <w:szCs w:val="20"/>
        </w:rPr>
        <w:t>toestemming verkrijgen van het hoger leidinggevend personeel om zakelijke relaties met P</w:t>
      </w:r>
      <w:r w:rsidR="00085BB3">
        <w:rPr>
          <w:rFonts w:ascii="Century Gothic" w:hAnsi="Century Gothic"/>
          <w:sz w:val="20"/>
          <w:szCs w:val="20"/>
        </w:rPr>
        <w:t>olitiek Prominente Personen</w:t>
      </w:r>
      <w:r w:rsidRPr="00816100">
        <w:rPr>
          <w:rFonts w:ascii="Century Gothic" w:hAnsi="Century Gothic"/>
          <w:sz w:val="20"/>
          <w:szCs w:val="20"/>
        </w:rPr>
        <w:t xml:space="preserve"> aan te gaan of voort te zetten of om een occasionele verrichting uit te voeren voor een P</w:t>
      </w:r>
      <w:r w:rsidR="00085BB3">
        <w:rPr>
          <w:rFonts w:ascii="Century Gothic" w:hAnsi="Century Gothic"/>
          <w:sz w:val="20"/>
          <w:szCs w:val="20"/>
        </w:rPr>
        <w:t xml:space="preserve">olitiek </w:t>
      </w:r>
      <w:r w:rsidRPr="00816100">
        <w:rPr>
          <w:rFonts w:ascii="Century Gothic" w:hAnsi="Century Gothic"/>
          <w:sz w:val="20"/>
          <w:szCs w:val="20"/>
        </w:rPr>
        <w:t>P</w:t>
      </w:r>
      <w:r w:rsidR="00085BB3">
        <w:rPr>
          <w:rFonts w:ascii="Century Gothic" w:hAnsi="Century Gothic"/>
          <w:sz w:val="20"/>
          <w:szCs w:val="20"/>
        </w:rPr>
        <w:t xml:space="preserve">rominente </w:t>
      </w:r>
      <w:r w:rsidRPr="00816100">
        <w:rPr>
          <w:rFonts w:ascii="Century Gothic" w:hAnsi="Century Gothic"/>
          <w:sz w:val="20"/>
          <w:szCs w:val="20"/>
        </w:rPr>
        <w:t>P</w:t>
      </w:r>
      <w:r w:rsidR="00085BB3">
        <w:rPr>
          <w:rFonts w:ascii="Century Gothic" w:hAnsi="Century Gothic"/>
          <w:sz w:val="20"/>
          <w:szCs w:val="20"/>
        </w:rPr>
        <w:t>ersoon</w:t>
      </w:r>
      <w:r w:rsidRPr="00816100">
        <w:rPr>
          <w:rFonts w:ascii="Century Gothic" w:hAnsi="Century Gothic"/>
          <w:sz w:val="20"/>
          <w:szCs w:val="20"/>
        </w:rPr>
        <w:t>;</w:t>
      </w:r>
    </w:p>
    <w:p w:rsidR="00816100" w:rsidRPr="00816100" w:rsidRDefault="00816100" w:rsidP="00816100">
      <w:pPr>
        <w:numPr>
          <w:ilvl w:val="0"/>
          <w:numId w:val="4"/>
        </w:numPr>
        <w:rPr>
          <w:rFonts w:ascii="Century Gothic" w:hAnsi="Century Gothic"/>
          <w:sz w:val="20"/>
          <w:szCs w:val="20"/>
        </w:rPr>
      </w:pPr>
      <w:r w:rsidRPr="00816100">
        <w:rPr>
          <w:rFonts w:ascii="Century Gothic" w:hAnsi="Century Gothic"/>
          <w:sz w:val="20"/>
          <w:szCs w:val="20"/>
        </w:rPr>
        <w:t>passende maatregelen nemen om de oorsprong vast te stellen van het vermogen en van de geldmiddelen die bij zakelijke relaties of verrichtingen met dergelijke personen worden gebruikt;</w:t>
      </w:r>
    </w:p>
    <w:p w:rsidR="00816100" w:rsidRPr="009D3C9E" w:rsidRDefault="00816100" w:rsidP="00816100">
      <w:pPr>
        <w:numPr>
          <w:ilvl w:val="0"/>
          <w:numId w:val="4"/>
        </w:numPr>
        <w:rPr>
          <w:rFonts w:ascii="Century Gothic" w:hAnsi="Century Gothic"/>
          <w:sz w:val="20"/>
          <w:szCs w:val="20"/>
        </w:rPr>
      </w:pPr>
      <w:r w:rsidRPr="00816100">
        <w:rPr>
          <w:rFonts w:ascii="Century Gothic" w:hAnsi="Century Gothic"/>
          <w:sz w:val="20"/>
          <w:szCs w:val="20"/>
        </w:rPr>
        <w:t>een verscherpt toezicht uitoefenen op de zakelijke relatie.</w:t>
      </w:r>
    </w:p>
    <w:p w:rsidR="00816100" w:rsidRPr="00816100" w:rsidRDefault="00816100" w:rsidP="00816100">
      <w:pPr>
        <w:rPr>
          <w:rFonts w:ascii="Century Gothic" w:hAnsi="Century Gothic"/>
          <w:sz w:val="20"/>
          <w:szCs w:val="20"/>
        </w:rPr>
      </w:pPr>
      <w:r w:rsidRPr="009D3C9E">
        <w:rPr>
          <w:rFonts w:ascii="Century Gothic" w:hAnsi="Century Gothic"/>
          <w:sz w:val="20"/>
          <w:szCs w:val="20"/>
        </w:rPr>
        <w:t>H</w:t>
      </w:r>
      <w:r w:rsidRPr="00816100">
        <w:rPr>
          <w:rFonts w:ascii="Century Gothic" w:hAnsi="Century Gothic"/>
          <w:sz w:val="20"/>
          <w:szCs w:val="20"/>
        </w:rPr>
        <w:t>et specifieke geval waarin de begunstigden van een levensverzekeringsovereenkomst P</w:t>
      </w:r>
      <w:r w:rsidRPr="009D3C9E">
        <w:rPr>
          <w:rFonts w:ascii="Century Gothic" w:hAnsi="Century Gothic"/>
          <w:sz w:val="20"/>
          <w:szCs w:val="20"/>
        </w:rPr>
        <w:t>olitiek Prominente Personen</w:t>
      </w:r>
      <w:r w:rsidRPr="00816100">
        <w:rPr>
          <w:rFonts w:ascii="Century Gothic" w:hAnsi="Century Gothic"/>
          <w:sz w:val="20"/>
          <w:szCs w:val="20"/>
        </w:rPr>
        <w:t>, familieleden van of personen bekend als naaste geassocieerden van zijn. In dat geval moet</w:t>
      </w:r>
      <w:r w:rsidRPr="009D3C9E">
        <w:rPr>
          <w:rFonts w:ascii="Century Gothic" w:hAnsi="Century Gothic"/>
          <w:sz w:val="20"/>
          <w:szCs w:val="20"/>
        </w:rPr>
        <w:t xml:space="preserve"> de financiële instelling </w:t>
      </w:r>
      <w:r w:rsidRPr="00816100">
        <w:rPr>
          <w:rFonts w:ascii="Century Gothic" w:hAnsi="Century Gothic"/>
          <w:sz w:val="20"/>
          <w:szCs w:val="20"/>
        </w:rPr>
        <w:t>naast de gewone waakzaamheidsmaatregelen ook de volgende maatregelen nemen:</w:t>
      </w:r>
    </w:p>
    <w:p w:rsidR="00816100" w:rsidRPr="00816100" w:rsidRDefault="00816100" w:rsidP="00816100">
      <w:pPr>
        <w:numPr>
          <w:ilvl w:val="0"/>
          <w:numId w:val="5"/>
        </w:numPr>
        <w:rPr>
          <w:rFonts w:ascii="Century Gothic" w:hAnsi="Century Gothic"/>
          <w:sz w:val="20"/>
          <w:szCs w:val="20"/>
        </w:rPr>
      </w:pPr>
      <w:r w:rsidRPr="00816100">
        <w:rPr>
          <w:rFonts w:ascii="Century Gothic" w:hAnsi="Century Gothic"/>
          <w:sz w:val="20"/>
          <w:szCs w:val="20"/>
        </w:rPr>
        <w:t>het hoger leidinggevend personeel informeren vóór de uitbetaling van verzekeringsprestaties;</w:t>
      </w:r>
    </w:p>
    <w:p w:rsidR="00816100" w:rsidRPr="009D3C9E" w:rsidRDefault="00816100" w:rsidP="00816100">
      <w:pPr>
        <w:numPr>
          <w:ilvl w:val="0"/>
          <w:numId w:val="5"/>
        </w:numPr>
        <w:rPr>
          <w:rFonts w:ascii="Century Gothic" w:hAnsi="Century Gothic"/>
          <w:sz w:val="20"/>
          <w:szCs w:val="20"/>
        </w:rPr>
      </w:pPr>
      <w:r w:rsidRPr="00816100">
        <w:rPr>
          <w:rFonts w:ascii="Century Gothic" w:hAnsi="Century Gothic"/>
          <w:sz w:val="20"/>
          <w:szCs w:val="20"/>
        </w:rPr>
        <w:t>een doorlopend verscherpt toezicht uitoefenen op de gehele zakelijke relatie met de verzekeringnemer.</w:t>
      </w:r>
    </w:p>
    <w:p w:rsidR="00816100" w:rsidRPr="009D3C9E" w:rsidRDefault="009D3C9E" w:rsidP="009D3C9E">
      <w:pPr>
        <w:pStyle w:val="Heading2"/>
        <w:rPr>
          <w:rFonts w:ascii="Century Gothic" w:hAnsi="Century Gothic"/>
        </w:rPr>
      </w:pPr>
      <w:r w:rsidRPr="009D3C9E">
        <w:rPr>
          <w:rFonts w:ascii="Century Gothic" w:hAnsi="Century Gothic"/>
        </w:rPr>
        <w:t>Wat moet u doen indien u als lid voldoet aan deze definitie?</w:t>
      </w:r>
    </w:p>
    <w:p w:rsidR="009D3C9E" w:rsidRDefault="009D3C9E" w:rsidP="009D3C9E">
      <w:pPr>
        <w:rPr>
          <w:rFonts w:ascii="Century Gothic" w:hAnsi="Century Gothic"/>
          <w:sz w:val="20"/>
          <w:szCs w:val="20"/>
        </w:rPr>
      </w:pPr>
      <w:r>
        <w:rPr>
          <w:rFonts w:ascii="Century Gothic" w:hAnsi="Century Gothic"/>
          <w:sz w:val="20"/>
          <w:szCs w:val="20"/>
        </w:rPr>
        <w:t xml:space="preserve">Wanneer u een Politiek Prominent Persoon bent, een familielid of naaste geassocieerde, gelieve dit te melden aan uw beheerder of raadgever. U kan dit eveneens melden via </w:t>
      </w:r>
      <w:hyperlink r:id="rId5" w:history="1">
        <w:r w:rsidRPr="008F51AD">
          <w:rPr>
            <w:rStyle w:val="Hyperlink"/>
            <w:rFonts w:ascii="Century Gothic" w:hAnsi="Century Gothic"/>
            <w:sz w:val="20"/>
            <w:szCs w:val="20"/>
          </w:rPr>
          <w:t>info@curalia.be</w:t>
        </w:r>
      </w:hyperlink>
      <w:r>
        <w:rPr>
          <w:rFonts w:ascii="Century Gothic" w:hAnsi="Century Gothic"/>
          <w:sz w:val="20"/>
          <w:szCs w:val="20"/>
        </w:rPr>
        <w:t xml:space="preserve"> ter attentie van de Compliance </w:t>
      </w:r>
      <w:proofErr w:type="spellStart"/>
      <w:r>
        <w:rPr>
          <w:rFonts w:ascii="Century Gothic" w:hAnsi="Century Gothic"/>
          <w:sz w:val="20"/>
          <w:szCs w:val="20"/>
        </w:rPr>
        <w:t>Officer</w:t>
      </w:r>
      <w:proofErr w:type="spellEnd"/>
      <w:r>
        <w:rPr>
          <w:rFonts w:ascii="Century Gothic" w:hAnsi="Century Gothic"/>
          <w:sz w:val="20"/>
          <w:szCs w:val="20"/>
        </w:rPr>
        <w:t xml:space="preserve">. </w:t>
      </w:r>
    </w:p>
    <w:p w:rsidR="00816100" w:rsidRPr="00816100" w:rsidRDefault="00816100">
      <w:pPr>
        <w:rPr>
          <w:rFonts w:ascii="Century Gothic" w:hAnsi="Century Gothic"/>
        </w:rPr>
      </w:pPr>
    </w:p>
    <w:sectPr w:rsidR="00816100" w:rsidRPr="00816100" w:rsidSect="00E90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A35B0"/>
    <w:multiLevelType w:val="multilevel"/>
    <w:tmpl w:val="DF48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77161"/>
    <w:multiLevelType w:val="multilevel"/>
    <w:tmpl w:val="E93C3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BC567F"/>
    <w:multiLevelType w:val="multilevel"/>
    <w:tmpl w:val="0AC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F0719"/>
    <w:multiLevelType w:val="multilevel"/>
    <w:tmpl w:val="FBD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F229D"/>
    <w:multiLevelType w:val="multilevel"/>
    <w:tmpl w:val="4D90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EA"/>
    <w:rsid w:val="00085BB3"/>
    <w:rsid w:val="004E6958"/>
    <w:rsid w:val="005E6CE9"/>
    <w:rsid w:val="006E0C5B"/>
    <w:rsid w:val="007750C4"/>
    <w:rsid w:val="007C2EEA"/>
    <w:rsid w:val="00816100"/>
    <w:rsid w:val="009D3C9E"/>
    <w:rsid w:val="00BC4E39"/>
    <w:rsid w:val="00CA554B"/>
    <w:rsid w:val="00DB3FA1"/>
    <w:rsid w:val="00DF4850"/>
    <w:rsid w:val="00E12CA3"/>
    <w:rsid w:val="00E90C0F"/>
    <w:rsid w:val="00ED2F2E"/>
    <w:rsid w:val="00F5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6EA4"/>
  <w15:chartTrackingRefBased/>
  <w15:docId w15:val="{98344357-C220-44CE-9CDE-61B2255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F"/>
    <w:rPr>
      <w:lang w:val="nl-BE"/>
    </w:rPr>
  </w:style>
  <w:style w:type="paragraph" w:styleId="Heading1">
    <w:name w:val="heading 1"/>
    <w:basedOn w:val="Normal"/>
    <w:next w:val="Normal"/>
    <w:link w:val="Heading1Char"/>
    <w:uiPriority w:val="9"/>
    <w:qFormat/>
    <w:rsid w:val="007C2E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E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EEA"/>
    <w:rPr>
      <w:rFonts w:asciiTheme="majorHAnsi" w:eastAsiaTheme="majorEastAsia" w:hAnsiTheme="majorHAnsi" w:cstheme="majorBidi"/>
      <w:color w:val="365F91" w:themeColor="accent1" w:themeShade="BF"/>
      <w:sz w:val="32"/>
      <w:szCs w:val="32"/>
      <w:lang w:val="nl-BE"/>
    </w:rPr>
  </w:style>
  <w:style w:type="character" w:customStyle="1" w:styleId="Heading2Char">
    <w:name w:val="Heading 2 Char"/>
    <w:basedOn w:val="DefaultParagraphFont"/>
    <w:link w:val="Heading2"/>
    <w:uiPriority w:val="9"/>
    <w:rsid w:val="007C2EEA"/>
    <w:rPr>
      <w:rFonts w:asciiTheme="majorHAnsi" w:eastAsiaTheme="majorEastAsia" w:hAnsiTheme="majorHAnsi" w:cstheme="majorBidi"/>
      <w:color w:val="365F91" w:themeColor="accent1" w:themeShade="BF"/>
      <w:sz w:val="26"/>
      <w:szCs w:val="26"/>
      <w:lang w:val="nl-BE"/>
    </w:rPr>
  </w:style>
  <w:style w:type="character" w:styleId="Hyperlink">
    <w:name w:val="Hyperlink"/>
    <w:basedOn w:val="DefaultParagraphFont"/>
    <w:uiPriority w:val="99"/>
    <w:unhideWhenUsed/>
    <w:rsid w:val="009D3C9E"/>
    <w:rPr>
      <w:color w:val="0000FF" w:themeColor="hyperlink"/>
      <w:u w:val="single"/>
    </w:rPr>
  </w:style>
  <w:style w:type="character" w:styleId="UnresolvedMention">
    <w:name w:val="Unresolved Mention"/>
    <w:basedOn w:val="DefaultParagraphFont"/>
    <w:uiPriority w:val="99"/>
    <w:semiHidden/>
    <w:unhideWhenUsed/>
    <w:rsid w:val="009D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302370">
      <w:bodyDiv w:val="1"/>
      <w:marLeft w:val="0"/>
      <w:marRight w:val="0"/>
      <w:marTop w:val="0"/>
      <w:marBottom w:val="0"/>
      <w:divBdr>
        <w:top w:val="none" w:sz="0" w:space="0" w:color="auto"/>
        <w:left w:val="none" w:sz="0" w:space="0" w:color="auto"/>
        <w:bottom w:val="none" w:sz="0" w:space="0" w:color="auto"/>
        <w:right w:val="none" w:sz="0" w:space="0" w:color="auto"/>
      </w:divBdr>
    </w:div>
    <w:div w:id="1067803325">
      <w:bodyDiv w:val="1"/>
      <w:marLeft w:val="0"/>
      <w:marRight w:val="0"/>
      <w:marTop w:val="0"/>
      <w:marBottom w:val="0"/>
      <w:divBdr>
        <w:top w:val="none" w:sz="0" w:space="0" w:color="auto"/>
        <w:left w:val="none" w:sz="0" w:space="0" w:color="auto"/>
        <w:bottom w:val="none" w:sz="0" w:space="0" w:color="auto"/>
        <w:right w:val="none" w:sz="0" w:space="0" w:color="auto"/>
      </w:divBdr>
    </w:div>
    <w:div w:id="1199508821">
      <w:bodyDiv w:val="1"/>
      <w:marLeft w:val="0"/>
      <w:marRight w:val="0"/>
      <w:marTop w:val="0"/>
      <w:marBottom w:val="0"/>
      <w:divBdr>
        <w:top w:val="none" w:sz="0" w:space="0" w:color="auto"/>
        <w:left w:val="none" w:sz="0" w:space="0" w:color="auto"/>
        <w:bottom w:val="none" w:sz="0" w:space="0" w:color="auto"/>
        <w:right w:val="none" w:sz="0" w:space="0" w:color="auto"/>
      </w:divBdr>
    </w:div>
    <w:div w:id="1491944367">
      <w:bodyDiv w:val="1"/>
      <w:marLeft w:val="0"/>
      <w:marRight w:val="0"/>
      <w:marTop w:val="0"/>
      <w:marBottom w:val="0"/>
      <w:divBdr>
        <w:top w:val="none" w:sz="0" w:space="0" w:color="auto"/>
        <w:left w:val="none" w:sz="0" w:space="0" w:color="auto"/>
        <w:bottom w:val="none" w:sz="0" w:space="0" w:color="auto"/>
        <w:right w:val="none" w:sz="0" w:space="0" w:color="auto"/>
      </w:divBdr>
    </w:div>
    <w:div w:id="20561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uralia.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705</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Carion</dc:creator>
  <cp:keywords/>
  <dc:description/>
  <cp:lastModifiedBy>Katrien Carion</cp:lastModifiedBy>
  <cp:revision>3</cp:revision>
  <dcterms:created xsi:type="dcterms:W3CDTF">2020-04-15T11:42:00Z</dcterms:created>
  <dcterms:modified xsi:type="dcterms:W3CDTF">2020-04-15T12:38:00Z</dcterms:modified>
</cp:coreProperties>
</file>